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25" w:rsidRPr="00F35C30" w:rsidRDefault="00EC3C0E" w:rsidP="007E0F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Mental Health Contracts -</w:t>
      </w:r>
      <w:r w:rsidR="007E0F25" w:rsidRPr="00F35C30">
        <w:rPr>
          <w:b/>
          <w:sz w:val="28"/>
          <w:szCs w:val="28"/>
          <w:u w:val="single"/>
        </w:rPr>
        <w:t xml:space="preserve"> FY</w:t>
      </w:r>
      <w:r w:rsidR="007E0F2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5</w:t>
      </w:r>
      <w:r w:rsidR="007E0F25" w:rsidRPr="00F35C3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Report</w:t>
      </w:r>
      <w:r w:rsidR="007E0F25">
        <w:rPr>
          <w:b/>
          <w:sz w:val="28"/>
          <w:szCs w:val="28"/>
          <w:u w:val="single"/>
        </w:rPr>
        <w:t xml:space="preserve"> Due Dates</w:t>
      </w:r>
    </w:p>
    <w:p w:rsidR="007E0F25" w:rsidRPr="00135387" w:rsidRDefault="007E0F25" w:rsidP="007E0F25">
      <w:pPr>
        <w:jc w:val="center"/>
        <w:rPr>
          <w:b/>
          <w:i/>
          <w:sz w:val="14"/>
        </w:rPr>
      </w:pPr>
    </w:p>
    <w:p w:rsidR="007E0F25" w:rsidRPr="001D4C65" w:rsidRDefault="007E0F25" w:rsidP="007E0F25">
      <w:pPr>
        <w:jc w:val="center"/>
        <w:rPr>
          <w:b/>
          <w:i/>
        </w:rPr>
      </w:pPr>
      <w:r w:rsidRPr="001D4C65">
        <w:rPr>
          <w:b/>
          <w:i/>
        </w:rPr>
        <w:t>Note: if the due date falls on a weekend or holiday, the report is due on the subsequent business day.</w:t>
      </w:r>
    </w:p>
    <w:p w:rsidR="007E0F25" w:rsidRPr="00135387" w:rsidRDefault="007E0F25" w:rsidP="007E0F25">
      <w:pPr>
        <w:rPr>
          <w:b/>
          <w:sz w:val="14"/>
          <w:u w:val="single"/>
        </w:rPr>
      </w:pPr>
    </w:p>
    <w:p w:rsidR="007E0F25" w:rsidRDefault="00EC3C0E" w:rsidP="007E0F25">
      <w:pPr>
        <w:ind w:left="360" w:firstLine="360"/>
        <w:rPr>
          <w:i/>
        </w:rPr>
      </w:pPr>
      <w:r>
        <w:rPr>
          <w:b/>
          <w:u w:val="single"/>
        </w:rPr>
        <w:t xml:space="preserve">Program </w:t>
      </w:r>
      <w:r w:rsidR="00135387">
        <w:rPr>
          <w:b/>
          <w:u w:val="single"/>
        </w:rPr>
        <w:t xml:space="preserve">Reports: </w:t>
      </w:r>
    </w:p>
    <w:p w:rsidR="007E0F25" w:rsidRPr="00CB432C" w:rsidRDefault="00EC3C0E" w:rsidP="007E0F25">
      <w:pPr>
        <w:pStyle w:val="NoSpacing"/>
        <w:ind w:left="720"/>
      </w:pPr>
      <w:r>
        <w:t>D</w:t>
      </w:r>
      <w:r w:rsidR="007E0F25" w:rsidRPr="00CB432C">
        <w:t xml:space="preserve">ue on the </w:t>
      </w:r>
      <w:r>
        <w:t>15</w:t>
      </w:r>
      <w:r w:rsidRPr="00EC3C0E">
        <w:rPr>
          <w:vertAlign w:val="superscript"/>
        </w:rPr>
        <w:t>th</w:t>
      </w:r>
      <w:r w:rsidR="007E0F25">
        <w:t xml:space="preserve"> day following </w:t>
      </w:r>
      <w:r>
        <w:t>the end of the reporting period:</w:t>
      </w:r>
    </w:p>
    <w:p w:rsidR="007E0F25" w:rsidRPr="00135387" w:rsidRDefault="007E0F25" w:rsidP="007E0F25">
      <w:pPr>
        <w:ind w:left="360" w:firstLine="360"/>
        <w:rPr>
          <w:i/>
          <w:sz w:val="14"/>
        </w:rPr>
      </w:pPr>
    </w:p>
    <w:tbl>
      <w:tblPr>
        <w:tblW w:w="0" w:type="auto"/>
        <w:jc w:val="center"/>
        <w:tblInd w:w="175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3663"/>
        <w:gridCol w:w="1350"/>
      </w:tblGrid>
      <w:tr w:rsidR="007E0F25" w:rsidRPr="00325642" w:rsidTr="00B157A1">
        <w:trPr>
          <w:jc w:val="center"/>
        </w:trPr>
        <w:tc>
          <w:tcPr>
            <w:tcW w:w="3663" w:type="dxa"/>
            <w:tcBorders>
              <w:top w:val="single" w:sz="6" w:space="0" w:color="000080"/>
              <w:bottom w:val="single" w:sz="4" w:space="0" w:color="auto"/>
              <w:right w:val="nil"/>
            </w:tcBorders>
            <w:shd w:val="clear" w:color="auto" w:fill="BFBFBF"/>
          </w:tcPr>
          <w:p w:rsidR="007E0F25" w:rsidRPr="00325642" w:rsidRDefault="007E0F25" w:rsidP="00B157A1">
            <w:pPr>
              <w:rPr>
                <w:b/>
              </w:rPr>
            </w:pPr>
            <w:r w:rsidRPr="00325642">
              <w:rPr>
                <w:b/>
              </w:rPr>
              <w:t>Quarter</w:t>
            </w:r>
            <w:r>
              <w:rPr>
                <w:b/>
              </w:rPr>
              <w:t>ly Reporting Schedule</w:t>
            </w:r>
          </w:p>
        </w:tc>
        <w:tc>
          <w:tcPr>
            <w:tcW w:w="1350" w:type="dxa"/>
            <w:tcBorders>
              <w:top w:val="single" w:sz="6" w:space="0" w:color="000080"/>
              <w:left w:val="nil"/>
              <w:bottom w:val="single" w:sz="4" w:space="0" w:color="auto"/>
            </w:tcBorders>
            <w:shd w:val="clear" w:color="auto" w:fill="BFBFBF"/>
          </w:tcPr>
          <w:p w:rsidR="007E0F25" w:rsidRPr="00325642" w:rsidRDefault="007E0F25" w:rsidP="00B157A1">
            <w:pPr>
              <w:jc w:val="center"/>
              <w:rPr>
                <w:b/>
              </w:rPr>
            </w:pPr>
          </w:p>
        </w:tc>
      </w:tr>
      <w:tr w:rsidR="007E0F25" w:rsidRPr="00BA58F5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F25" w:rsidRPr="00BA58F5" w:rsidRDefault="007E0F25" w:rsidP="00B157A1">
            <w:pPr>
              <w:rPr>
                <w:b/>
                <w:highlight w:val="lightGray"/>
              </w:rPr>
            </w:pPr>
            <w:r w:rsidRPr="00DC05E6">
              <w:rPr>
                <w:b/>
              </w:rPr>
              <w:t>Reporting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F25" w:rsidRPr="00BA58F5" w:rsidRDefault="007E0F25" w:rsidP="00B157A1">
            <w:pPr>
              <w:rPr>
                <w:b/>
              </w:rPr>
            </w:pPr>
            <w:r w:rsidRPr="00DC05E6">
              <w:rPr>
                <w:b/>
              </w:rPr>
              <w:t>Due Date</w:t>
            </w:r>
          </w:p>
        </w:tc>
      </w:tr>
      <w:tr w:rsidR="007E0F25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25" w:rsidRDefault="007E0F25" w:rsidP="00B157A1">
            <w:r w:rsidRPr="00E54C1E">
              <w:t>7/1/</w:t>
            </w:r>
            <w:r w:rsidR="00EC3C0E">
              <w:t xml:space="preserve">14 </w:t>
            </w:r>
            <w:r>
              <w:t>-</w:t>
            </w:r>
            <w:r w:rsidR="00EC3C0E">
              <w:t xml:space="preserve"> </w:t>
            </w:r>
            <w:r w:rsidRPr="00E54C1E">
              <w:t>9/30/</w:t>
            </w:r>
            <w:r w:rsidR="00EC3C0E"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25" w:rsidRDefault="00EC3C0E" w:rsidP="005F6A3C">
            <w:pPr>
              <w:ind w:right="58"/>
              <w:jc w:val="center"/>
            </w:pPr>
            <w:r>
              <w:t>10/15/14</w:t>
            </w:r>
          </w:p>
        </w:tc>
      </w:tr>
      <w:tr w:rsidR="007E0F25" w:rsidRPr="00DC05E6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25" w:rsidRDefault="007E0F25" w:rsidP="00EC3C0E">
            <w:r>
              <w:t>10</w:t>
            </w:r>
            <w:r w:rsidRPr="00E54C1E">
              <w:t>/1/</w:t>
            </w:r>
            <w:r>
              <w:t>1</w:t>
            </w:r>
            <w:r w:rsidR="00EC3C0E">
              <w:t xml:space="preserve">4 </w:t>
            </w:r>
            <w:r>
              <w:t>-</w:t>
            </w:r>
            <w:r w:rsidR="00EC3C0E">
              <w:t xml:space="preserve"> </w:t>
            </w:r>
            <w:r>
              <w:t>12</w:t>
            </w:r>
            <w:r w:rsidRPr="00E54C1E">
              <w:t>/3</w:t>
            </w:r>
            <w:r>
              <w:t>1</w:t>
            </w:r>
            <w:r w:rsidRPr="00E54C1E">
              <w:t>/</w:t>
            </w:r>
            <w:r w:rsidR="00EC3C0E"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25" w:rsidRDefault="007E0F25" w:rsidP="00EC3C0E">
            <w:pPr>
              <w:jc w:val="center"/>
            </w:pPr>
            <w:r w:rsidRPr="002B2995">
              <w:t>1/</w:t>
            </w:r>
            <w:r w:rsidR="00EC3C0E">
              <w:t>15</w:t>
            </w:r>
            <w:r w:rsidRPr="002B2995">
              <w:t>/</w:t>
            </w:r>
            <w:r w:rsidR="00EC3C0E">
              <w:t>15</w:t>
            </w:r>
          </w:p>
        </w:tc>
      </w:tr>
      <w:tr w:rsidR="007E0F25" w:rsidRPr="00DC05E6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25" w:rsidRDefault="007E0F25" w:rsidP="00EC3C0E">
            <w:r>
              <w:t>1</w:t>
            </w:r>
            <w:r w:rsidRPr="00E54C1E">
              <w:t>/1/</w:t>
            </w:r>
            <w:r>
              <w:t>1</w:t>
            </w:r>
            <w:r w:rsidR="00EC3C0E">
              <w:t xml:space="preserve">5 </w:t>
            </w:r>
            <w:r>
              <w:t>-</w:t>
            </w:r>
            <w:r w:rsidR="00EC3C0E">
              <w:t xml:space="preserve"> 3/31/15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25" w:rsidRDefault="007E0F25" w:rsidP="00EC3C0E">
            <w:pPr>
              <w:jc w:val="center"/>
            </w:pPr>
            <w:r w:rsidRPr="002B2995">
              <w:t>4/</w:t>
            </w:r>
            <w:r w:rsidR="00EC3C0E">
              <w:t>15</w:t>
            </w:r>
            <w:r w:rsidRPr="002B2995">
              <w:t>/</w:t>
            </w:r>
            <w:r w:rsidR="00EC3C0E">
              <w:t>15</w:t>
            </w:r>
          </w:p>
        </w:tc>
      </w:tr>
      <w:tr w:rsidR="007E0F25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25" w:rsidRDefault="007E0F25" w:rsidP="00EC3C0E">
            <w:r>
              <w:t>4/1/1</w:t>
            </w:r>
            <w:r w:rsidR="00EC3C0E">
              <w:t xml:space="preserve">5 </w:t>
            </w:r>
            <w:r>
              <w:t>-</w:t>
            </w:r>
            <w:r w:rsidR="00EC3C0E">
              <w:t xml:space="preserve"> </w:t>
            </w:r>
            <w:r>
              <w:t>6</w:t>
            </w:r>
            <w:r w:rsidRPr="00E54C1E">
              <w:t>/30/</w:t>
            </w:r>
            <w:r w:rsidR="00EC3C0E"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25" w:rsidRDefault="007E0F25" w:rsidP="00EC3C0E">
            <w:pPr>
              <w:jc w:val="center"/>
            </w:pPr>
            <w:r w:rsidRPr="002B2995">
              <w:t>7/</w:t>
            </w:r>
            <w:r w:rsidR="00EC3C0E">
              <w:t>15</w:t>
            </w:r>
            <w:r w:rsidRPr="002B2995">
              <w:t>/</w:t>
            </w:r>
            <w:r w:rsidR="00EC3C0E">
              <w:t>15</w:t>
            </w:r>
          </w:p>
        </w:tc>
      </w:tr>
    </w:tbl>
    <w:p w:rsidR="007E0F25" w:rsidRDefault="007E0F25" w:rsidP="007E0F25">
      <w:pPr>
        <w:ind w:left="1080" w:firstLine="360"/>
        <w:rPr>
          <w:i/>
        </w:rPr>
      </w:pPr>
    </w:p>
    <w:p w:rsidR="007E0F25" w:rsidRDefault="00EC3C0E" w:rsidP="00135387">
      <w:pPr>
        <w:ind w:firstLine="720"/>
        <w:rPr>
          <w:b/>
          <w:u w:val="single"/>
        </w:rPr>
      </w:pPr>
      <w:r>
        <w:rPr>
          <w:b/>
          <w:u w:val="single"/>
        </w:rPr>
        <w:t xml:space="preserve">Fiscal </w:t>
      </w:r>
      <w:r w:rsidR="007E0F25" w:rsidRPr="00F35C30">
        <w:rPr>
          <w:b/>
          <w:u w:val="single"/>
        </w:rPr>
        <w:t>Report</w:t>
      </w:r>
      <w:r>
        <w:rPr>
          <w:b/>
          <w:u w:val="single"/>
        </w:rPr>
        <w:t>s</w:t>
      </w:r>
      <w:r w:rsidR="005F6A3C">
        <w:rPr>
          <w:b/>
          <w:u w:val="single"/>
        </w:rPr>
        <w:t xml:space="preserve"> or Invoices</w:t>
      </w:r>
      <w:r w:rsidR="007E0F25">
        <w:rPr>
          <w:b/>
          <w:u w:val="single"/>
        </w:rPr>
        <w:t xml:space="preserve"> </w:t>
      </w:r>
    </w:p>
    <w:p w:rsidR="007E0F25" w:rsidRDefault="005F6A3C" w:rsidP="00135387">
      <w:pPr>
        <w:ind w:left="720"/>
      </w:pPr>
      <w:bookmarkStart w:id="0" w:name="_GoBack"/>
      <w:bookmarkEnd w:id="0"/>
      <w:r>
        <w:t>D</w:t>
      </w:r>
      <w:r w:rsidR="007E0F25" w:rsidRPr="00CB432C">
        <w:t xml:space="preserve">ue </w:t>
      </w:r>
      <w:r w:rsidR="007E0F25">
        <w:t xml:space="preserve">on the </w:t>
      </w:r>
      <w:r w:rsidR="00EC3C0E">
        <w:t>15</w:t>
      </w:r>
      <w:r w:rsidR="00EC3C0E" w:rsidRPr="00EC3C0E">
        <w:rPr>
          <w:vertAlign w:val="superscript"/>
        </w:rPr>
        <w:t>th</w:t>
      </w:r>
      <w:r w:rsidR="007E0F25">
        <w:t xml:space="preserve"> </w:t>
      </w:r>
      <w:r w:rsidR="007E0F25" w:rsidRPr="00CB432C">
        <w:t>day following t</w:t>
      </w:r>
      <w:r w:rsidR="007E0F25">
        <w:t xml:space="preserve">he end of the reporting period.  </w:t>
      </w:r>
    </w:p>
    <w:p w:rsidR="00135387" w:rsidRPr="00135387" w:rsidRDefault="00135387" w:rsidP="00135387">
      <w:pPr>
        <w:ind w:left="720"/>
        <w:rPr>
          <w:sz w:val="14"/>
        </w:rPr>
      </w:pPr>
    </w:p>
    <w:tbl>
      <w:tblPr>
        <w:tblW w:w="0" w:type="auto"/>
        <w:jc w:val="center"/>
        <w:tblInd w:w="175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3663"/>
        <w:gridCol w:w="1350"/>
      </w:tblGrid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6" w:space="0" w:color="000080"/>
              <w:bottom w:val="single" w:sz="4" w:space="0" w:color="auto"/>
              <w:right w:val="nil"/>
            </w:tcBorders>
            <w:shd w:val="clear" w:color="auto" w:fill="BFBFBF"/>
          </w:tcPr>
          <w:p w:rsidR="00EC3C0E" w:rsidRPr="00325642" w:rsidRDefault="00EC3C0E" w:rsidP="00B157A1">
            <w:pPr>
              <w:rPr>
                <w:b/>
              </w:rPr>
            </w:pPr>
            <w:r>
              <w:rPr>
                <w:b/>
              </w:rPr>
              <w:t>Monthly Reporting Schedule</w:t>
            </w:r>
          </w:p>
        </w:tc>
        <w:tc>
          <w:tcPr>
            <w:tcW w:w="1350" w:type="dxa"/>
            <w:tcBorders>
              <w:top w:val="single" w:sz="6" w:space="0" w:color="000080"/>
              <w:left w:val="nil"/>
              <w:bottom w:val="single" w:sz="4" w:space="0" w:color="auto"/>
            </w:tcBorders>
            <w:shd w:val="clear" w:color="auto" w:fill="BFBFBF"/>
          </w:tcPr>
          <w:p w:rsidR="00EC3C0E" w:rsidRPr="00325642" w:rsidRDefault="00EC3C0E" w:rsidP="00B157A1">
            <w:pPr>
              <w:jc w:val="center"/>
              <w:rPr>
                <w:b/>
              </w:rPr>
            </w:pP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C0E" w:rsidRPr="00056099" w:rsidRDefault="00EC3C0E" w:rsidP="00B157A1">
            <w:pPr>
              <w:rPr>
                <w:b/>
              </w:rPr>
            </w:pPr>
            <w:r w:rsidRPr="00056099">
              <w:rPr>
                <w:b/>
              </w:rPr>
              <w:t>Reporting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C0E" w:rsidRPr="002B2995" w:rsidRDefault="00EC3C0E" w:rsidP="00B157A1">
            <w:pPr>
              <w:jc w:val="center"/>
            </w:pPr>
            <w:r w:rsidRPr="00325642">
              <w:rPr>
                <w:b/>
              </w:rPr>
              <w:t>Due Date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EC3C0E" w:rsidP="00135387">
            <w:r w:rsidRPr="00E54C1E">
              <w:t>7/1/</w:t>
            </w:r>
            <w:r>
              <w:t xml:space="preserve">14 - </w:t>
            </w:r>
            <w:r w:rsidR="00135387">
              <w:t>7</w:t>
            </w:r>
            <w:r w:rsidRPr="00E54C1E">
              <w:t>/3</w:t>
            </w:r>
            <w:r w:rsidR="00135387">
              <w:t>1</w:t>
            </w:r>
            <w:r w:rsidRPr="00E54C1E">
              <w:t>/</w:t>
            </w:r>
            <w: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135387" w:rsidP="00B157A1">
            <w:pPr>
              <w:jc w:val="center"/>
            </w:pPr>
            <w:r>
              <w:t>8/15/14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135387" w:rsidP="00135387">
            <w:r>
              <w:t>8</w:t>
            </w:r>
            <w:r w:rsidRPr="00E54C1E">
              <w:t>/1/</w:t>
            </w:r>
            <w:r>
              <w:t>14 - 8</w:t>
            </w:r>
            <w:r w:rsidRPr="00E54C1E">
              <w:t>/3</w:t>
            </w:r>
            <w:r>
              <w:t>1</w:t>
            </w:r>
            <w:r w:rsidRPr="00E54C1E">
              <w:t>/</w:t>
            </w:r>
            <w: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135387" w:rsidP="00B157A1">
            <w:pPr>
              <w:jc w:val="center"/>
            </w:pPr>
            <w:r>
              <w:t>9</w:t>
            </w:r>
            <w:r w:rsidR="00EC3C0E" w:rsidRPr="002B2995">
              <w:t>/</w:t>
            </w:r>
            <w:r w:rsidR="00EC3C0E">
              <w:t>15</w:t>
            </w:r>
            <w:r w:rsidR="00EC3C0E" w:rsidRPr="002B2995">
              <w:t>/</w:t>
            </w:r>
            <w:r>
              <w:t>14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135387" w:rsidP="005F6A3C">
            <w:r>
              <w:t>9/1/14 - 9</w:t>
            </w:r>
            <w:r w:rsidRPr="00135387">
              <w:t>/3</w:t>
            </w:r>
            <w:r w:rsidR="005F6A3C">
              <w:t>0</w:t>
            </w:r>
            <w:r w:rsidRPr="00135387">
              <w:t>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135387" w:rsidP="00B157A1">
            <w:pPr>
              <w:jc w:val="center"/>
            </w:pPr>
            <w:r>
              <w:t>10</w:t>
            </w:r>
            <w:r w:rsidRPr="002B2995">
              <w:t>/</w:t>
            </w:r>
            <w:r>
              <w:t>15</w:t>
            </w:r>
            <w:r w:rsidRPr="002B2995">
              <w:t>/</w:t>
            </w:r>
            <w:r>
              <w:t>14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135387" w:rsidP="00135387">
            <w:r>
              <w:t>10</w:t>
            </w:r>
            <w:r w:rsidRPr="00135387">
              <w:t xml:space="preserve">/1/14 - </w:t>
            </w:r>
            <w:r>
              <w:t>10</w:t>
            </w:r>
            <w:r w:rsidRPr="00135387">
              <w:t>/31/14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135387" w:rsidP="00B157A1">
            <w:pPr>
              <w:jc w:val="center"/>
            </w:pPr>
            <w:r>
              <w:t>11</w:t>
            </w:r>
            <w:r w:rsidRPr="002B2995">
              <w:t>/</w:t>
            </w:r>
            <w:r>
              <w:t>15</w:t>
            </w:r>
            <w:r w:rsidRPr="002B2995">
              <w:t>/</w:t>
            </w:r>
            <w:r>
              <w:t>14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135387" w:rsidP="005F6A3C">
            <w:r>
              <w:t>11/1/14 - 11</w:t>
            </w:r>
            <w:r w:rsidRPr="00135387">
              <w:t>/3</w:t>
            </w:r>
            <w:r w:rsidR="005F6A3C">
              <w:t>0</w:t>
            </w:r>
            <w:r w:rsidRPr="00135387">
              <w:t>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Pr="002B2995" w:rsidRDefault="00135387" w:rsidP="00B157A1">
            <w:pPr>
              <w:jc w:val="center"/>
            </w:pPr>
            <w:r>
              <w:t>12</w:t>
            </w:r>
            <w:r w:rsidRPr="002B2995">
              <w:t>/</w:t>
            </w:r>
            <w:r>
              <w:t>15</w:t>
            </w:r>
            <w:r w:rsidRPr="002B2995">
              <w:t>/</w:t>
            </w:r>
            <w:r>
              <w:t>14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135387" w:rsidP="00135387">
            <w:r>
              <w:t>12/</w:t>
            </w:r>
            <w:r w:rsidRPr="00135387">
              <w:t xml:space="preserve">1/14 - </w:t>
            </w:r>
            <w:r>
              <w:t>12</w:t>
            </w:r>
            <w:r w:rsidRPr="00135387">
              <w:t>/31/14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Pr="002B2995" w:rsidRDefault="00135387" w:rsidP="00135387">
            <w:pPr>
              <w:jc w:val="center"/>
            </w:pPr>
            <w:r>
              <w:t>1</w:t>
            </w:r>
            <w:r w:rsidRPr="002B2995">
              <w:t>/</w:t>
            </w:r>
            <w:r>
              <w:t>15</w:t>
            </w:r>
            <w:r w:rsidRPr="002B2995">
              <w:t>/</w:t>
            </w:r>
            <w:r>
              <w:t>15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135387" w:rsidP="00B157A1">
            <w:r>
              <w:t>1/1/15 – 1/31/15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Pr="002B2995" w:rsidRDefault="00135387" w:rsidP="00B157A1">
            <w:pPr>
              <w:jc w:val="center"/>
            </w:pPr>
            <w:r>
              <w:t>2</w:t>
            </w:r>
            <w:r w:rsidRPr="002B2995">
              <w:t>/</w:t>
            </w:r>
            <w:r>
              <w:t>15</w:t>
            </w:r>
            <w:r w:rsidRPr="002B2995">
              <w:t>/</w:t>
            </w:r>
            <w:r>
              <w:t>15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135387" w:rsidP="005F6A3C">
            <w:r>
              <w:t>2/1/15 – 2/</w:t>
            </w:r>
            <w:r w:rsidR="005F6A3C">
              <w:t>28</w:t>
            </w:r>
            <w:r>
              <w:t>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Pr="002B2995" w:rsidRDefault="00135387" w:rsidP="00B157A1">
            <w:pPr>
              <w:jc w:val="center"/>
            </w:pPr>
            <w:r>
              <w:t>3</w:t>
            </w:r>
            <w:r w:rsidRPr="002B2995">
              <w:t>/</w:t>
            </w:r>
            <w:r>
              <w:t>15</w:t>
            </w:r>
            <w:r w:rsidRPr="002B2995">
              <w:t>/</w:t>
            </w:r>
            <w:r>
              <w:t>15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135387" w:rsidP="00B157A1">
            <w:r>
              <w:t>3/1/15 – 3/31/15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Pr="002B2995" w:rsidRDefault="00135387" w:rsidP="00B157A1">
            <w:pPr>
              <w:jc w:val="center"/>
            </w:pPr>
            <w:r>
              <w:t>4</w:t>
            </w:r>
            <w:r w:rsidRPr="002B2995">
              <w:t>/</w:t>
            </w:r>
            <w:r>
              <w:t>15</w:t>
            </w:r>
            <w:r w:rsidRPr="002B2995">
              <w:t>/</w:t>
            </w:r>
            <w:r>
              <w:t>15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135387" w:rsidP="005F6A3C">
            <w:r>
              <w:t>4/1/15 – 4/3</w:t>
            </w:r>
            <w:r w:rsidR="005F6A3C">
              <w:t>0</w:t>
            </w:r>
            <w:r>
              <w:t>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Pr="002B2995" w:rsidRDefault="00135387" w:rsidP="00B157A1">
            <w:pPr>
              <w:jc w:val="center"/>
            </w:pPr>
            <w:r>
              <w:t>5</w:t>
            </w:r>
            <w:r w:rsidRPr="002B2995">
              <w:t>/</w:t>
            </w:r>
            <w:r>
              <w:t>15</w:t>
            </w:r>
            <w:r w:rsidRPr="002B2995">
              <w:t>/</w:t>
            </w:r>
            <w:r>
              <w:t>15</w:t>
            </w:r>
          </w:p>
        </w:tc>
      </w:tr>
      <w:tr w:rsidR="00135387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7" w:rsidRDefault="00135387" w:rsidP="00135387">
            <w:r>
              <w:t>5/1/15 – 5/31/15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7" w:rsidRPr="002B2995" w:rsidRDefault="00135387" w:rsidP="00B157A1">
            <w:pPr>
              <w:jc w:val="center"/>
            </w:pPr>
            <w:r>
              <w:t>6</w:t>
            </w:r>
            <w:r w:rsidRPr="002B2995">
              <w:t>/</w:t>
            </w:r>
            <w:r>
              <w:t>15</w:t>
            </w:r>
            <w:r w:rsidRPr="002B2995">
              <w:t>/</w:t>
            </w:r>
            <w:r>
              <w:t>15</w:t>
            </w:r>
          </w:p>
        </w:tc>
      </w:tr>
      <w:tr w:rsidR="00135387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7" w:rsidRDefault="00135387" w:rsidP="005F6A3C">
            <w:r>
              <w:t>6</w:t>
            </w:r>
            <w:r w:rsidRPr="00135387">
              <w:t xml:space="preserve">/1/15 – </w:t>
            </w:r>
            <w:r>
              <w:t>6</w:t>
            </w:r>
            <w:r w:rsidRPr="00135387">
              <w:t>/3</w:t>
            </w:r>
            <w:r w:rsidR="005F6A3C">
              <w:t>0</w:t>
            </w:r>
            <w:r w:rsidRPr="00135387">
              <w:t>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7" w:rsidRPr="002B2995" w:rsidRDefault="00135387" w:rsidP="00B157A1">
            <w:pPr>
              <w:jc w:val="center"/>
            </w:pPr>
            <w:r>
              <w:t>7</w:t>
            </w:r>
            <w:r w:rsidRPr="002B2995">
              <w:t>/</w:t>
            </w:r>
            <w:r>
              <w:t>15</w:t>
            </w:r>
            <w:r w:rsidRPr="002B2995">
              <w:t>/</w:t>
            </w:r>
            <w:r>
              <w:t>15</w:t>
            </w:r>
          </w:p>
        </w:tc>
      </w:tr>
    </w:tbl>
    <w:p w:rsidR="00EC3C0E" w:rsidRPr="00135387" w:rsidRDefault="00EC3C0E" w:rsidP="007E0F25">
      <w:pPr>
        <w:ind w:left="1080" w:firstLine="360"/>
        <w:rPr>
          <w:sz w:val="14"/>
        </w:rPr>
      </w:pPr>
    </w:p>
    <w:tbl>
      <w:tblPr>
        <w:tblW w:w="0" w:type="auto"/>
        <w:jc w:val="center"/>
        <w:tblInd w:w="175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3663"/>
        <w:gridCol w:w="1350"/>
      </w:tblGrid>
      <w:tr w:rsidR="00C813BB" w:rsidRPr="00325642" w:rsidTr="00114D55">
        <w:trPr>
          <w:jc w:val="center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813BB" w:rsidRPr="00325642" w:rsidRDefault="00C813BB" w:rsidP="00C813BB">
            <w:pPr>
              <w:rPr>
                <w:b/>
              </w:rPr>
            </w:pPr>
            <w:r w:rsidRPr="00325642">
              <w:rPr>
                <w:b/>
              </w:rPr>
              <w:t>Quarter</w:t>
            </w:r>
            <w:r>
              <w:rPr>
                <w:b/>
              </w:rPr>
              <w:t>ly Reporting Schedule</w:t>
            </w:r>
          </w:p>
        </w:tc>
      </w:tr>
      <w:tr w:rsidR="007E0F25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F25" w:rsidRPr="00056099" w:rsidRDefault="007E0F25" w:rsidP="00B157A1">
            <w:pPr>
              <w:rPr>
                <w:b/>
              </w:rPr>
            </w:pPr>
            <w:r w:rsidRPr="00056099">
              <w:rPr>
                <w:b/>
              </w:rPr>
              <w:t>Reporting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F25" w:rsidRPr="002B2995" w:rsidRDefault="007E0F25" w:rsidP="00B157A1">
            <w:pPr>
              <w:jc w:val="center"/>
            </w:pPr>
            <w:r w:rsidRPr="00325642">
              <w:rPr>
                <w:b/>
              </w:rPr>
              <w:t>Due Date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EC3C0E" w:rsidP="00B157A1">
            <w:r w:rsidRPr="00E54C1E">
              <w:t>7/1/</w:t>
            </w:r>
            <w:r>
              <w:t xml:space="preserve">14 - </w:t>
            </w:r>
            <w:r w:rsidRPr="00E54C1E">
              <w:t>9/30/</w:t>
            </w:r>
            <w: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EC3C0E" w:rsidP="00B157A1">
            <w:pPr>
              <w:jc w:val="center"/>
            </w:pPr>
            <w:r>
              <w:t>10/15/14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EC3C0E" w:rsidP="00B157A1">
            <w:r>
              <w:t>10</w:t>
            </w:r>
            <w:r w:rsidRPr="00E54C1E">
              <w:t>/1/</w:t>
            </w:r>
            <w:r>
              <w:t>14 - 12</w:t>
            </w:r>
            <w:r w:rsidRPr="00E54C1E">
              <w:t>/3</w:t>
            </w:r>
            <w:r>
              <w:t>1</w:t>
            </w:r>
            <w:r w:rsidRPr="00E54C1E">
              <w:t>/</w:t>
            </w:r>
            <w: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EC3C0E" w:rsidP="00B157A1">
            <w:pPr>
              <w:jc w:val="center"/>
            </w:pPr>
            <w:r w:rsidRPr="002B2995">
              <w:t>1/</w:t>
            </w:r>
            <w:r>
              <w:t>15</w:t>
            </w:r>
            <w:r w:rsidRPr="002B2995">
              <w:t>/</w:t>
            </w:r>
            <w:r>
              <w:t>15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EC3C0E" w:rsidP="00B157A1">
            <w:r>
              <w:t>1</w:t>
            </w:r>
            <w:r w:rsidRPr="00E54C1E">
              <w:t>/1/</w:t>
            </w:r>
            <w:r>
              <w:t>15 - 3/31/15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EC3C0E" w:rsidP="00B157A1">
            <w:pPr>
              <w:jc w:val="center"/>
            </w:pPr>
            <w:r w:rsidRPr="002B2995">
              <w:t>4/</w:t>
            </w:r>
            <w:r>
              <w:t>15</w:t>
            </w:r>
            <w:r w:rsidRPr="002B2995">
              <w:t>/</w:t>
            </w:r>
            <w:r>
              <w:t>15</w:t>
            </w:r>
          </w:p>
        </w:tc>
      </w:tr>
      <w:tr w:rsidR="00EC3C0E" w:rsidRPr="00325642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EC3C0E" w:rsidP="00B157A1">
            <w:r>
              <w:t>4/1/15 - 6</w:t>
            </w:r>
            <w:r w:rsidRPr="00E54C1E">
              <w:t>/30/</w:t>
            </w:r>
            <w: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E" w:rsidRDefault="00EC3C0E" w:rsidP="00B157A1">
            <w:pPr>
              <w:jc w:val="center"/>
            </w:pPr>
            <w:r w:rsidRPr="002B2995">
              <w:t>7/</w:t>
            </w:r>
            <w:r>
              <w:t>15</w:t>
            </w:r>
            <w:r w:rsidRPr="002B2995">
              <w:t>/</w:t>
            </w:r>
            <w:r>
              <w:t>15</w:t>
            </w:r>
          </w:p>
        </w:tc>
      </w:tr>
    </w:tbl>
    <w:p w:rsidR="007E0F25" w:rsidRPr="00135387" w:rsidRDefault="007E0F25" w:rsidP="007E0F25">
      <w:pPr>
        <w:ind w:left="1080" w:firstLine="360"/>
        <w:rPr>
          <w:i/>
          <w:sz w:val="14"/>
        </w:rPr>
      </w:pPr>
    </w:p>
    <w:tbl>
      <w:tblPr>
        <w:tblW w:w="0" w:type="auto"/>
        <w:jc w:val="center"/>
        <w:tblInd w:w="175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3663"/>
        <w:gridCol w:w="1350"/>
      </w:tblGrid>
      <w:tr w:rsidR="005F6A3C" w:rsidRPr="00325642" w:rsidTr="005F6A3C">
        <w:trPr>
          <w:jc w:val="center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6A3C" w:rsidRPr="00325642" w:rsidRDefault="005F6A3C" w:rsidP="005F6A3C">
            <w:pPr>
              <w:rPr>
                <w:b/>
              </w:rPr>
            </w:pPr>
            <w:r>
              <w:rPr>
                <w:b/>
              </w:rPr>
              <w:t>Semi-Annual Reporting Schedule</w:t>
            </w:r>
          </w:p>
        </w:tc>
      </w:tr>
      <w:tr w:rsidR="007E0F25" w:rsidRPr="002B2995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F25" w:rsidRPr="00056099" w:rsidRDefault="007E0F25" w:rsidP="00B157A1">
            <w:pPr>
              <w:rPr>
                <w:b/>
              </w:rPr>
            </w:pPr>
            <w:r w:rsidRPr="00056099">
              <w:rPr>
                <w:b/>
              </w:rPr>
              <w:t>Reporting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F25" w:rsidRPr="002B2995" w:rsidRDefault="007E0F25" w:rsidP="00B157A1">
            <w:pPr>
              <w:jc w:val="center"/>
            </w:pPr>
            <w:r w:rsidRPr="00325642">
              <w:rPr>
                <w:b/>
              </w:rPr>
              <w:t>Due Date</w:t>
            </w:r>
          </w:p>
        </w:tc>
      </w:tr>
      <w:tr w:rsidR="007E0F25" w:rsidRPr="002B2995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25" w:rsidRDefault="007E0F25" w:rsidP="00EC3C0E">
            <w:r w:rsidRPr="00E54C1E">
              <w:t>7/1/</w:t>
            </w:r>
            <w:r>
              <w:t>1</w:t>
            </w:r>
            <w:r w:rsidR="00EC3C0E">
              <w:t xml:space="preserve">4 </w:t>
            </w:r>
            <w:r w:rsidRPr="00E54C1E">
              <w:t xml:space="preserve">- </w:t>
            </w:r>
            <w:r>
              <w:t>12</w:t>
            </w:r>
            <w:r w:rsidRPr="00E54C1E">
              <w:t>/3</w:t>
            </w:r>
            <w:r>
              <w:t>1</w:t>
            </w:r>
            <w:r w:rsidRPr="00E54C1E">
              <w:t>/</w:t>
            </w:r>
            <w:r w:rsidR="00EC3C0E"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25" w:rsidRDefault="00EC3C0E" w:rsidP="00EC3C0E">
            <w:pPr>
              <w:jc w:val="center"/>
            </w:pPr>
            <w:r>
              <w:t>1</w:t>
            </w:r>
            <w:r w:rsidR="007E0F25">
              <w:t>/1</w:t>
            </w:r>
            <w:r>
              <w:t>5</w:t>
            </w:r>
            <w:r w:rsidR="007E0F25" w:rsidRPr="002B2995">
              <w:t>/</w:t>
            </w:r>
            <w:r w:rsidR="007E0F25">
              <w:t>1</w:t>
            </w:r>
            <w:r>
              <w:t>5</w:t>
            </w:r>
          </w:p>
        </w:tc>
      </w:tr>
      <w:tr w:rsidR="007E0F25" w:rsidRPr="002B2995" w:rsidTr="00B157A1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25" w:rsidRDefault="007E0F25" w:rsidP="00EC3C0E">
            <w:r>
              <w:t>1</w:t>
            </w:r>
            <w:r w:rsidRPr="00E54C1E">
              <w:t>/1/</w:t>
            </w:r>
            <w:r>
              <w:t>1</w:t>
            </w:r>
            <w:r w:rsidR="00EC3C0E">
              <w:t>5</w:t>
            </w:r>
            <w:r>
              <w:t xml:space="preserve"> - 6</w:t>
            </w:r>
            <w:r w:rsidRPr="00E54C1E">
              <w:t>/30/</w:t>
            </w:r>
            <w:r w:rsidR="00EC3C0E"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25" w:rsidRDefault="00EC3C0E" w:rsidP="00B157A1">
            <w:pPr>
              <w:jc w:val="center"/>
            </w:pPr>
            <w:r>
              <w:t>7</w:t>
            </w:r>
            <w:r w:rsidR="007E0F25">
              <w:t>/</w:t>
            </w:r>
            <w:r>
              <w:t>15</w:t>
            </w:r>
            <w:r w:rsidR="007E0F25" w:rsidRPr="002B2995">
              <w:t>/</w:t>
            </w:r>
            <w:r>
              <w:t>15</w:t>
            </w:r>
          </w:p>
        </w:tc>
      </w:tr>
    </w:tbl>
    <w:p w:rsidR="005F6A3C" w:rsidRPr="005F6A3C" w:rsidRDefault="005F6A3C" w:rsidP="00135387">
      <w:pPr>
        <w:tabs>
          <w:tab w:val="left" w:pos="4864"/>
        </w:tabs>
        <w:rPr>
          <w:b/>
          <w:sz w:val="14"/>
          <w:szCs w:val="14"/>
        </w:rPr>
      </w:pPr>
    </w:p>
    <w:p w:rsidR="00D17166" w:rsidRDefault="005F6A3C" w:rsidP="00C813BB">
      <w:pPr>
        <w:tabs>
          <w:tab w:val="left" w:pos="4864"/>
        </w:tabs>
        <w:ind w:left="720"/>
        <w:rPr>
          <w:b/>
        </w:rPr>
      </w:pPr>
      <w:r w:rsidRPr="005F6A3C">
        <w:rPr>
          <w:b/>
        </w:rPr>
        <w:t>Budget Modification Requests</w:t>
      </w:r>
    </w:p>
    <w:p w:rsidR="00C813BB" w:rsidRPr="00C813BB" w:rsidRDefault="00C813BB" w:rsidP="00C813BB">
      <w:pPr>
        <w:tabs>
          <w:tab w:val="left" w:pos="4864"/>
        </w:tabs>
        <w:ind w:left="720"/>
      </w:pPr>
      <w:r>
        <w:t>Budget modification requests can be submitted throughout the fiscal year up to March 1</w:t>
      </w:r>
      <w:r w:rsidRPr="00C813BB">
        <w:rPr>
          <w:vertAlign w:val="superscript"/>
        </w:rPr>
        <w:t>st</w:t>
      </w:r>
      <w:r>
        <w:t xml:space="preserve">, 2015. </w:t>
      </w:r>
    </w:p>
    <w:sectPr w:rsidR="00C813BB" w:rsidRPr="00C813BB" w:rsidSect="00135387">
      <w:headerReference w:type="default" r:id="rId7"/>
      <w:headerReference w:type="first" r:id="rId8"/>
      <w:pgSz w:w="12240" w:h="15840"/>
      <w:pgMar w:top="432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82" w:rsidRDefault="00275282" w:rsidP="004824F0">
      <w:r>
        <w:separator/>
      </w:r>
    </w:p>
  </w:endnote>
  <w:endnote w:type="continuationSeparator" w:id="0">
    <w:p w:rsidR="00275282" w:rsidRDefault="00275282" w:rsidP="0048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82" w:rsidRDefault="00275282" w:rsidP="004824F0">
      <w:r>
        <w:separator/>
      </w:r>
    </w:p>
  </w:footnote>
  <w:footnote w:type="continuationSeparator" w:id="0">
    <w:p w:rsidR="00275282" w:rsidRDefault="00275282" w:rsidP="00482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F0" w:rsidRDefault="004824F0" w:rsidP="004824F0">
    <w:pPr>
      <w:pStyle w:val="Header"/>
      <w:ind w:left="-810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66" w:rsidRDefault="00D1716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2928620" cy="685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b-panto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D17166" w:rsidRDefault="00D17166">
    <w:pPr>
      <w:pStyle w:val="Header"/>
    </w:pPr>
  </w:p>
  <w:p w:rsidR="00D17166" w:rsidRDefault="00D17166">
    <w:pPr>
      <w:pStyle w:val="Header"/>
    </w:pPr>
  </w:p>
  <w:p w:rsidR="00D17166" w:rsidRDefault="00D171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24F0"/>
    <w:rsid w:val="00135387"/>
    <w:rsid w:val="00275282"/>
    <w:rsid w:val="004652E3"/>
    <w:rsid w:val="004824F0"/>
    <w:rsid w:val="004B2B6D"/>
    <w:rsid w:val="005B41D3"/>
    <w:rsid w:val="005C7D90"/>
    <w:rsid w:val="005F6A3C"/>
    <w:rsid w:val="00604FA0"/>
    <w:rsid w:val="006A1E1C"/>
    <w:rsid w:val="007E0F25"/>
    <w:rsid w:val="007F51D3"/>
    <w:rsid w:val="008C1634"/>
    <w:rsid w:val="009570B9"/>
    <w:rsid w:val="00A45201"/>
    <w:rsid w:val="00C813BB"/>
    <w:rsid w:val="00D17166"/>
    <w:rsid w:val="00D33F81"/>
    <w:rsid w:val="00E85F55"/>
    <w:rsid w:val="00EC3C0E"/>
    <w:rsid w:val="00F7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4F0"/>
  </w:style>
  <w:style w:type="paragraph" w:styleId="Footer">
    <w:name w:val="footer"/>
    <w:basedOn w:val="Normal"/>
    <w:link w:val="Foot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F0"/>
  </w:style>
  <w:style w:type="paragraph" w:styleId="BalloonText">
    <w:name w:val="Balloon Text"/>
    <w:basedOn w:val="Normal"/>
    <w:link w:val="BalloonTextChar"/>
    <w:uiPriority w:val="99"/>
    <w:semiHidden/>
    <w:unhideWhenUsed/>
    <w:rsid w:val="0048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F0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7E0F2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4F0"/>
  </w:style>
  <w:style w:type="paragraph" w:styleId="Footer">
    <w:name w:val="footer"/>
    <w:basedOn w:val="Normal"/>
    <w:link w:val="Foot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F0"/>
  </w:style>
  <w:style w:type="paragraph" w:styleId="BalloonText">
    <w:name w:val="Balloon Text"/>
    <w:basedOn w:val="Normal"/>
    <w:link w:val="BalloonTextChar"/>
    <w:uiPriority w:val="99"/>
    <w:semiHidden/>
    <w:unhideWhenUsed/>
    <w:rsid w:val="0048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F0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7E0F2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C724D-6C5E-4F20-A1A7-92ED53DB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Hatcher Group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Shieh</dc:creator>
  <cp:lastModifiedBy>Lynn Mumma</cp:lastModifiedBy>
  <cp:revision>2</cp:revision>
  <dcterms:created xsi:type="dcterms:W3CDTF">2014-06-06T11:32:00Z</dcterms:created>
  <dcterms:modified xsi:type="dcterms:W3CDTF">2014-06-06T11:32:00Z</dcterms:modified>
</cp:coreProperties>
</file>